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_GB2312" w:eastAsia="仿宋_GB2312" w:cs="仿宋_GB2312"/>
          <w:color w:val="333333"/>
          <w:sz w:val="32"/>
          <w:szCs w:val="32"/>
          <w:u w:val="none"/>
        </w:rPr>
      </w:pPr>
      <w:bookmarkStart w:id="0" w:name="_GoBack"/>
      <w:bookmarkEnd w:id="0"/>
      <w:r>
        <w:rPr>
          <w:rFonts w:hint="eastAsia" w:ascii="仿宋_GB2312" w:hAnsi="仿宋_GB2312" w:eastAsia="仿宋_GB2312" w:cs="仿宋_GB2312"/>
          <w:color w:val="333333"/>
          <w:kern w:val="0"/>
          <w:sz w:val="32"/>
          <w:szCs w:val="32"/>
          <w:u w:val="none"/>
          <w:shd w:val="clear" w:fill="FFFFFF"/>
          <w:lang w:val="en-US" w:eastAsia="zh-CN" w:bidi="ar"/>
        </w:rPr>
        <w:t>国务院决定修改的行政法规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一、删去《城市绿化条例》第十一条第三款、第十六条。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二十二条改为第二十一条，修改为：“在城市的公共绿地内开设商业、服务摊点的，应当持工商行政管理部门批准的营业执照，在公共绿地管理单位指定的地点从事经营活动，并遵守公共绿地和工商行政管理的规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第二十四条改为第二十三条，修改为：“为保证管线的安全使用需要修剪树木时，应当按照兼顾管线安全使用和树木正常生长的原则进行修剪。承担修剪费用的办法，由城市人民政府规定。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“因不可抗力致使树木倾斜危及管线安全时，管线管理单位可以先行扶正或者砍伐树木，但是，应当及时报告城市人民政府城市绿化行政主管部门和绿地管理单位。”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二十六条改为第二十五条，修改为：“工程建设项目的附属绿化工程设计方案，未经批准或者未按照批准的设计方案施工的，由城市人民政府城市绿化行政主管部门责令停止施工、限期改正或者采取其他补救措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第二十七条改为第二十六条，第二项修改为：“（二）擅自砍伐城市树木的”。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二十九条改为第二十八条，删去第一款。第二款修改为：“对不服从公共绿地管理单位管理的商业、服务摊点，由城市人民政府城市绿化行政主管部门或者其授权的单位给予警告，可以并处罚款；情节严重的，可以提请工商行政管理部门吊销营业执照。”</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二、删去《中华人民共和国海洋倾废管理条例》第十二条第三款。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三、将《防止拆船污染环境管理条例》第十一条第二款修改为：“废油船在拆解前，必须进行洗舱、排污、清舱、测爆等工作。”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四、将《中华人民共和国河道管理条例》第十一条第一款修改为：“修建开发水利、防治水害、整治河道的各类工程和跨河、穿河、穿堤、临河的桥梁、码头、道路、渡口、管道、缆线等建筑物及设施，建设单位必须按照河道管理权限，将工程建设方案报送河道主管机关审查同意。未经河道主管机关审查同意的，建设单位不得开工建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第二十九条修改为：“江河的故道、旧堤、原有工程设施等，不得擅自填堵、占用或者拆毁。”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五、删去《实验动物管理条例》第二十三条、第二十四条第一款、第二十七条。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六、将《放射性药品管理办法》第四条修改为：“国务院药品监督管理部门负责全国放射性药品监督管理工作。国务院国防科技工业主管部门依据职责负责与放射性药品有关的管理工作。国务院环境保护主管部门负责与放射性药品有关的辐射安全与防护的监督管理工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删去第五条。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第六条改为第五条，第三款修改为：“放射性新药的分类，按国务院药品监督管理部门有关药品注册的规定办理。”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七条改为第六条，修改为：“研制单位研制的放射性新药，在进行临床试验或者验证前，应当向国务院药品监督管理部门提出申请，按规定报送资料及样品，经国务院药品监督管理部门审批同意后，在国务院药品监督管理部门指定的药物临床试验机构进行临床研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第八条改为第七条，将其中的“卫生部”修改为“国务院药品监督管理部门”，“能源部”修改为“国务院国防科技工业主管部门”。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第九条改为第八条，将其中的“卫生部”修改为“国务院药品监督管理部门”。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jc w:val="left"/>
        <w:textAlignment w:val="auto"/>
        <w:rPr>
          <w:rFonts w:hint="eastAsia" w:ascii="仿宋_GB2312" w:hAnsi="仿宋_GB2312" w:eastAsia="仿宋_GB2312" w:cs="仿宋_GB2312"/>
          <w:color w:val="333333"/>
          <w:sz w:val="32"/>
          <w:szCs w:val="32"/>
          <w:u w:val="none"/>
          <w:shd w:val="clear" w:fill="FFFFFF"/>
        </w:rPr>
      </w:pPr>
      <w:r>
        <w:rPr>
          <w:rFonts w:hint="eastAsia" w:ascii="仿宋_GB2312" w:hAnsi="仿宋_GB2312" w:eastAsia="仿宋_GB2312" w:cs="仿宋_GB2312"/>
          <w:color w:val="333333"/>
          <w:sz w:val="32"/>
          <w:szCs w:val="32"/>
          <w:u w:val="none"/>
          <w:shd w:val="clear" w:fill="FFFFFF"/>
        </w:rPr>
        <w:t>删去第十条。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jc w:val="left"/>
        <w:textAlignment w:val="auto"/>
        <w:rPr>
          <w:rFonts w:hint="eastAsia" w:ascii="仿宋_GB2312" w:hAnsi="仿宋_GB2312" w:eastAsia="仿宋_GB2312" w:cs="仿宋_GB2312"/>
          <w:color w:val="333333"/>
          <w:sz w:val="32"/>
          <w:szCs w:val="32"/>
          <w:u w:val="none"/>
          <w:shd w:val="clear" w:fill="FFFFFF"/>
        </w:rPr>
      </w:pPr>
      <w:r>
        <w:rPr>
          <w:rFonts w:hint="eastAsia" w:ascii="仿宋_GB2312" w:hAnsi="仿宋_GB2312" w:eastAsia="仿宋_GB2312" w:cs="仿宋_GB2312"/>
          <w:color w:val="333333"/>
          <w:sz w:val="32"/>
          <w:szCs w:val="32"/>
          <w:u w:val="none"/>
          <w:shd w:val="clear" w:fill="FFFFFF"/>
        </w:rPr>
        <w:t>第十一条改为第九条，修改为：“国家根据需要，对放射性药品的生产企业实行合理布局。”</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十二条改为第十条，修改为：“开办放射性药品生产、经营企业，必须具备《药品管理法》规定的条件，符合国家有关放射性同位素安全和防护的规定与标准，并履行环境影响评价文件的审批手续；开办放射性药品生产企业，经国务院国防科技工业主管部门审查同意，国务院药品监督管理部门审核批准后，由所在省、自治区、直辖市药品监督管理部门发给《放射性药品生产企业许可证》；开办放射性药品经营企业，经国务院药品监督管理部门审核并征求国务院国防科技工业主管部门意见后批准的，由所在省、自治区、直辖市药品监督管理部门发给《放射性药品经营企业许可证》。无许可证的生产、经营企业，一律不准生产、销售放射性药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第十三条改为第十一条，将其中的“卫生行政”修改为“药品监督管理”，“第十二条”修改为“第十条”。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十四条改为第十二条，修改为：“放射性药品生产企业生产已有国家标准的放射性药品，必须经国务院药品监督管理部门征求国务院国防科技工业主管部门意见后审核批准，并发给批准文号。凡是改变国务院药品监督管理部门已批准的生产工艺路线和药品标准的，生产单位必须按原报批程序提出补充申请，经国务院药品监督管理部门批准后方能生产。”</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十六条改为第十四条，第二款修改为：“经国务院药品监督管理部门审核批准的含有短半衰期放射性核素的药品，可以边检验边出厂，但发现质量不符合国家药品标准时，该药品的生产企业应当立即停止生产、销售，并立即通知使用单位停止使用，同时报告国务院药品监督管理、卫生行政、国防科技工业主管部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十七条改为第十五条，修改为：“放射性药品的生产、经营单位和医疗单位凭省、自治区、直辖市药品监督管理部门发给的《放射性药品生产企业许可证》、《放射性药品经营企业许可证》，医疗单位凭省、自治区、直辖市药品监督管理部门发给的《放射性药品使用许可证》，开展放射性药品的购销活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第十八条改为第十六条，修改为：“进口的放射性药品品种，必须符合我国的药品标准或者其他药用要求，并依照《药品管理法》的规定取得进口药品注册证书。</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“进出口放射性药品，应当按照国家有关对外贸易、放射性同位素安全和防护的规定，办理进出口手续。”</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第十九条改为第十七条，修改为：“进口放射性药品，必须经国务院药品监督管理部门指定的药品检验机构抽样检验；检验合格的，方准进口。</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对于经国务院药品监督管理部门审核批准的含有短半衰期放射性核素的药品，在保证安全使用的情况下，可以采取边进口检验，边投入使用的办法。进口检验单位发现药品质量不符合要求时，应当立即通知使用单位停止使用，并报告国务院药品监督管理、卫生行政、国防科技工业主管部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二十三条改为第二十一条，第一款修改为：“医疗单位使用放射性药品，必须符合国家有关放射性同位素安全和防护的规定。所在地的省、自治区、直辖市药品监督管理部门，应当根据医疗单位核医疗技术人员的水平、设备条件，核发相应等级的《放射性药品使用许可证》，无许可证的医疗单位不得临床使用放射性药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第二十四条改为第二十二条，修改为：“医疗单位配制、使用放射性制剂，应当符合《药品管理法》及其实施条例的相关规定。”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二十五条改为第二十三条，修改为：“持有《放射性药品使用许可证》的医疗单位，必须负责对使用的放射性药品进行临床质量检验，收集药品不良反应等项工作，并定期向所在地药品监督管理、卫生行政部门报告。由省、自治区、直辖市药品监督管理、卫生行政部门汇总后分别报国务院药品监督管理、卫生行政部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第二十七条改为第二十五条，将其中的“卫生部”修改为“国务院药品监督管理部门”。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第二十八条改为第二十六条，修改为：“放射性药品的检验由国务院药品监督管理部门公布的药品检验机构承担。”</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第二十九条改为第二十七条，修改为：“对违反本办法规定的单位或者个人，由县以上药品监督管理、卫生行政部门，按照《药品管理法》和有关法规的规定处罚。”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删去第三十条。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七、删去《学校体育工作条例》第十四条第二款。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八、将《中华人民共和国防治海岸工程建设项目污染损害海洋环境管理条例》第七条第一款修改为：“海岸工程建设项目的建设单位，应当依法编制环境影响报告书（表），报环境保护主管部门审批。”第二款修改为：“环境保护主管部门在批准海岸工程建设项目的环境影响报告书（表）之前，应当征求海洋、海事、渔业主管部门和军队环境保护部门的意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九、删去《中华人民共和国档案法实施办法》第十七条。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十、将《中华人民共和国计量法实施细则》第二十九条第一款修改为：“国家法定计量检定机构的计量检定人员，必须经考核合格。”</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第三十一条第一项修改为：“（一）被授权单位执行检定、测试任务的人员，必须经考核合格”。</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第五十八条第五项修改为：“（五）未经考核合格执行计量检定的。”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十一、将《城市市容和环境卫生管理条例》第三十三条修改为：“按国家行政建制设立的市的市区内，禁止饲养鸡、鸭、兔、羊、猪等家畜家禽；因教学、科研以及其他特殊需要饲养的除外。”</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删去第三十五条中的“未经批准擅自”。</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十二、将《食盐加碘消除碘缺乏危害管理条例》第二十条第一款修改为：“为防治疾病，在碘盐中同时添加其他营养强化剂的，应当符合《中华人民共和国食品安全法》的相关规定，并标明销售范围。”</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十三、将《中华人民共和国中外合作经营企业法实施细则》第四十四条第一款修改为：“中外合作者在合作企业合同中约定合作期限届满时，合作企业的全部固定资产无偿归中国合作者所有的，外国合作者在合作期限内，可以在按照投资或者提供合作条件进行分配的基础上，在合作企业合同中约定扩大外国合作者的收益分配比例，先行回收其投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删去第四十五条第一款。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十四、将《城市道路管理条例》第十条第二款修改为：“单位投资建设城市道路的，应当符合城市道路发展规划。”</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删去第三十二条第二款、第三款。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十五、将《广播电视管理条例》第十三条第一款修改为：“广播电台、电视台变更台名、节目设置范围或者节目套数，省级以上人民政府广播电视行政部门设立的广播电台、电视台或者省级以上人民政府教育行政部门设立的电视台变更台标的，应当经国务院广播电视行政部门批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十六、将《饲料和饲料添加剂管理条例》第十二条第一款中的“应当委托中国境内代理机构向国务院农业行政主管部门申请登记”修改为“由出口方驻中国境内的办事机构或者其委托的中国境内代理机构向国务院农业行政主管部门申请登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十七、删去《印刷业管理条例》第五条第一款中的“会同国务院公安部门”。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增加一条，作为第十三条：“出版行政部门应当按照国家社会信用信息平台建设的总体要求，与公安部门、工商行政管理部门或者其他有关部门实现对印刷企业信息的互联共享。”</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第十四条改为第十五条，删去第一款中的“并按照国家有关规定向公安部门备案”。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三十条改为第三十一条，第一款修改为：“印刷布告、通告、重大活动工作证、通行证、在社会上流通使用的票证的，委托印刷单位必须向印刷企业出具主管部门的证明。印刷企业必须验证主管部门的证明，并保存主管部门的证明副本2年，以备查验；并且不得再委托他人印刷上述印刷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三十八条改为第三十九条，第二款修改为：“单位内部设立印刷厂（所）违反本条例的规定，没有向所在地县级以上地方人民政府出版行政部门、保密工作部门办理登记手续的，由县级以上地方人民政府出版行政部门、保密工作部门依据法定职权责令改正，给予警告；情节严重的，责令停业整顿。”</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四十二条改为第四十三条，修改为：“有下列行为之一的，由出版行政部门给予警告，没收印刷品和违法所得，违法经营额1万元以上的，并处违法经营额5倍以上10倍以下的罚款；违法经营额不足1万元的，并处1万元以上5万元以下的罚款；情节严重的，责令停业整顿或者吊销印刷经营许可证；构成犯罪的，依法追究刑事责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“（一）印刷布告、通告、重大活动工作证、通行证、在社会上流通使用的票证，印刷企业没有验证主管部门的证明的，或者再委托他人印刷上述印刷品的；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“（二）印刷业经营者伪造、变造学位证书、学历证书等国家机关公文、证件或者企业事业单位、人民团体公文、证件的。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“印刷布告、通告、重大活动工作证、通行证、在社会上流通使用的票证，委托印刷单位没有取得主管部门证明的，由县级以上人民政府出版行政部门处以500元以上5000元以下的罚款。”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十八、删去《地震安全性评价管理条例》第十二条、第十三条、第十五条。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十九、删去《中国公民出国旅游管理办法》第十条第二款。第三款修改为：“领队在带团时，应当遵守本办法及国务院旅游行政部门的有关规定。”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第二十九条、第三十条、第三十一条、第三十二条中的“领队证”修改为“导游证”。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二十、将《地质资料管理条例》第十五条第二款修改为：“前款规定以外的地质资料，自汇交之日起90日内，由地质资料馆或者地质资料保管单位予以公开。需要保护的，由接收地质资料的单位按照国务院地质矿产主管部门的规定予以保护。”</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二十一、将《中华人民共和国内河交通安全管理条例》第十八条修改为：“船舶进出内河港口，应当向海事管理机构报告船舶的航次计划、适航状态、船员配备和载货载客等情况。”</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第六十八条第二项修改为：“（二）未按照规定向海事管理机构报告船舶的航次计划、适航状态、船员配备和载货载客等情况的”。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二十二、将《中华人民共和国文物保护法实施条例》第二十条第一项修改为：“（一）有4名以上接受过考古专业训练且主持过考古发掘项目的人员”。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第二十二条修改为：“考古发掘项目实行项目负责人负责制度。”</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三十五条修改为：“为制作出版物、音像制品等拍摄馆藏文物的，应当征得文物收藏单位同意，并签署拍摄协议，明确文物保护措施和责任。文物收藏单位应当自拍摄工作完成后10个工作日内，将拍摄情况向文物行政主管部门报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第四十三条第一款中的“核准其销售、拍卖文物的文物行政主管部门”修改为“省、自治区、直辖市人民政府文物行政主管部门”。</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第四十四条修改为：“国务院文物行政主管部门指定的文物进出境审核机构，应当有5名以上取得中级以上文物博物专业技术职务的文物进出境责任鉴定人员。”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第四十五条中的“文物进出境责任鉴定员”修改为“文物进出境责任鉴定人员”。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删去第五十八条中的“拍摄”。增加一款，作为第二款：“文物收藏单位违反本条例规定，未在规定期限内将文物拍摄情况向文物行政主管部门报告的，由文物行政主管部门责令限期改正；逾期不改正的，对负有责任的主管人员和其他直接责任人员依法给予行政处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二十三、将《中华人民共和国进出口关税条例》第十六条第三项中的“暂准”修改为“暂时”。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删去第四十二条第一款中的“经海关批准”，将“经纳税义务人申请，海关可以根据海关总署的规定延长复运出境或者复运进境的期限”修改为“需要延长复运出境或者复运进境期限的，纳税义务人应当根据海关总署的规定向海关办理延期手续”。第二款、第三款中的“暂准”修改为“暂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二十四、将《直销管理条例》第十一条修改为：“直销企业有关本条例第八条第一项、第二项、第三项、第五项、第六项、第七项所列内容发生重大变更的，应当依照本条例第九条第一款规定的程序报国务院商务主管部门批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二十五、将《中华人民共和国进出口商品检验法实施条例》第六条第一款中的“暂准”修改为“暂时”。</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二十六、删去《取水许可和水资源费征收管理条例》第十一条第二款中的“由具备建设项目水资源论证资质的单位编制的”。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第二十一条修改为：“取水申请经审批机关批准，申请人方可兴建取水工程或者设施。”</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删去第四十七条第一款第四项。第二款中的“（六）”修改为“（五）”。</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二十七、删去《防治海洋工程建设项目污染损害海洋环境管理条例》第十条第三款、第四款。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删去第十三条第二款。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二十八、将《期货交易管理条例》第二十二条修改为：“其他期货经营机构从事期货投资咨询业务，应当遵守国务院期货监督管理机构的规定。”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二十九、将《中华人民共和国船员条例》第七十条修改为：“引航员的培训依照本条例有关船员培训的规定执行。引航员管理的具体办法由国务院交通主管部门制订。”</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三十、删去《中华人民共和国水文条例》第二十四条第二款第二项中的“并经考试合格”。</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三十一、删去《对外承包工程管理条例》第二章。</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删去第二十四条。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第二十五条改为第二十条，第二十六条改为第二十一条，均删去其中的“商务主管部门可以吊销其对外承包工程资格证书；对工程建设类单位”。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三十二、将《公共机构节能条例》第二十条第二款修改为：“国务院和县级以上地方各级人民政府负责审批固定资产投资项目的部门，应当严格控制公共机构建设项目的建设规模和标准，统筹兼顾节能投资和效益，对建设项目进行节能评估和审查，未通过节能评估和审查的项目，不得开工建设；政府投资项目未通过节能评估和审查的，依法负责项目审批的部门不得批准建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删去第三十九条第一款中的“或者核准”。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三十三、将《旅行社条例》第三十一条修改为：“旅行社为接待旅游者委派的导游人员，应当持有国家规定的导游证。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取得出境旅游业务经营许可的旅行社为组织旅游者出境旅游委派的领队，应当取得导游证，具有相应的学历、语言能力和旅游从业经历，并与委派其从事领队业务的旅行社订立劳动合同。旅行社应当将本单位领队名单报所在地设区的市级旅游行政管理部门备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五十七条修改为：“违反本条例的规定，旅行社委派的导游人员未持有国家规定的导游证或者委派的领队人员不具备规定的领队条件的，由旅游行政管理部门责令改正，对旅行社处2万元以上10万元以下的罚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删去第五十九条中的“或者领队证”。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删去第六十三条中的“领队证”。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三十四、将《防治船舶污染海洋环境管理条例》第十七条修改为：“船舶污染物接收单位从事船舶垃圾、残油、含油污水、含有毒有害物质污水接收作业，应当编制作业方案，遵守相关操作规程，并采取必要的防污染措施。船舶污染物接收单位应当将船舶污染物接收情况按照规定向海事管理机构报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十八条修改为：“船舶污染物接收单位接收船舶污染物，应当向船舶出具污染物接收单证，经双方签字确认并留存至少2年。污染物接收单证应当注明作业双方名称，作业开始和结束的时间、地点，以及污染物种类、数量等内容。船舶应当将污染物接收单证保存在相应的记录簿中。”</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第二十二条修改为：“载运污染危害性货物进出港口的船舶，其承运人、货物所有人或者代理人，应当向海事管理机构提出申请，经批准方可进出港口或者过境停留。”</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删去第三十条第一款中的“并经海事管理机构检查合格，方可进行船舶拆解作业”。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删去第三十二条第一款。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删去第四十二条第二款、第三款。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六十条修改为：“违反本条例的规定，船舶污染物接收单位从事船舶垃圾、残油、含油污水、含有毒有害物质污水接收作业，未编制作业方案、遵守相关操作规程、采取必要的防污染措施的，由海事管理机构处1万元以上5万元以下的罚款；造成海洋环境污染的，处5万元以上25万元以下的罚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六十一条修改为：“违反本条例的规定，船舶污染物接收单位未按照规定向海事管理机构报告船舶污染物接收情况，或者未按照规定向船舶出具污染物接收单证，或者未按照规定将船舶污染物的接收和处理情况报海事管理机构备案的，由海事管理机构处2万元以下的罚款。”</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第六十二条第一项修改为：“（一）船舶未按照规定保存污染物接收单证的”。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删去第六十四条中的“进行装卸”。</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第六十九条中的“未经海事管理机构批准”修改为“未按照国家规定的标准”。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三十五、将《中华人民共和国招标投标法实施条例》第十二条修改为：“招标代理机构应当拥有一定数量的具备编制招标文件、组织评标等相应能力的专业人员。”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删去第七十八条。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333333"/>
          <w:sz w:val="32"/>
          <w:szCs w:val="32"/>
          <w:u w:val="none"/>
          <w:shd w:val="clear" w:fill="FFFFFF"/>
        </w:rPr>
        <w:t>　　三十六、将《国内水路运输管理条例》第十四条第三款修改为：“海事管理机构在现场监督检查时，发现从事水路运输的船舶不能提供有效的船舶营运证件的，应当通知有关主管部门依法处理。”</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640"/>
        <w:jc w:val="left"/>
        <w:textAlignment w:val="auto"/>
        <w:rPr>
          <w:rFonts w:hint="eastAsia" w:ascii="仿宋_GB2312" w:hAnsi="仿宋_GB2312" w:eastAsia="仿宋_GB2312" w:cs="仿宋_GB2312"/>
          <w:color w:val="333333"/>
          <w:sz w:val="32"/>
          <w:szCs w:val="32"/>
          <w:u w:val="none"/>
          <w:shd w:val="clear" w:fill="FFFFFF"/>
        </w:rPr>
      </w:pPr>
      <w:r>
        <w:rPr>
          <w:rFonts w:hint="eastAsia" w:ascii="仿宋_GB2312" w:hAnsi="仿宋_GB2312" w:eastAsia="仿宋_GB2312" w:cs="仿宋_GB2312"/>
          <w:color w:val="333333"/>
          <w:sz w:val="32"/>
          <w:szCs w:val="32"/>
          <w:u w:val="none"/>
          <w:shd w:val="clear" w:fill="FFFFFF"/>
        </w:rPr>
        <w:t>此外，对相关行政法规中的条文序号作相应调整。</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802168"/>
    <w:rsid w:val="09802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2018-11-28T07:33:00Z</dcterms:created>
  <dc:creator>德隆技术部-李苗</dc:creator>
  <cp:lastModifiedBy>德隆技术部-李苗</cp:lastModifiedBy>
  <dcterms:modified xsi:type="dcterms:W3CDTF">2018-11-28T07:34:16Z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